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761EF4">
            <w:pPr>
              <w:pStyle w:val="Nadpis2"/>
              <w:jc w:val="center"/>
            </w:pPr>
            <w:r w:rsidRPr="00A37525">
              <w:t xml:space="preserve">ČESTNÉ PROHLÁŠENÍ </w:t>
            </w:r>
            <w:r>
              <w:t>ÚČASTNÍKA</w:t>
            </w:r>
          </w:p>
          <w:p w14:paraId="2FCF21EA" w14:textId="3E592A51" w:rsidR="00416B9B" w:rsidRPr="00A97703" w:rsidRDefault="00B726A9" w:rsidP="00761EF4">
            <w:pPr>
              <w:pStyle w:val="Nadpis2"/>
              <w:jc w:val="center"/>
              <w:rPr>
                <w:rFonts w:ascii="Calibri" w:hAnsi="Calibri" w:cs="Calibri"/>
                <w:color w:val="000000"/>
              </w:rPr>
            </w:pPr>
            <w:r w:rsidRPr="00295E1C">
              <w:rPr>
                <w:sz w:val="28"/>
              </w:rPr>
              <w:t>k veřejné zakázce malého rozsahu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77D9AB0A" w14:textId="77777777" w:rsidR="002078E3" w:rsidRDefault="00416B9B" w:rsidP="00761EF4">
            <w:pPr>
              <w:pStyle w:val="Nzev"/>
              <w:jc w:val="center"/>
            </w:pPr>
            <w:r w:rsidRPr="00416B9B">
              <w:t>„</w:t>
            </w:r>
            <w:r w:rsidR="002078E3">
              <w:t>Rekonstrukce bytů</w:t>
            </w:r>
          </w:p>
          <w:p w14:paraId="52179DDD" w14:textId="38BD01B7" w:rsidR="00416B9B" w:rsidRPr="00235A68" w:rsidRDefault="002078E3" w:rsidP="00235A68">
            <w:pPr>
              <w:pStyle w:val="Nzev"/>
              <w:jc w:val="center"/>
            </w:pPr>
            <w:r>
              <w:t>čp. 14 a 22 v</w:t>
            </w:r>
            <w:r w:rsidR="004D2D34">
              <w:t> </w:t>
            </w:r>
            <w:r>
              <w:t>dps</w:t>
            </w:r>
            <w:r w:rsidR="004D2D34">
              <w:t xml:space="preserve"> – část </w:t>
            </w:r>
            <w:r w:rsidR="00235A68">
              <w:t>2 dodávka truhlářských prací</w:t>
            </w:r>
            <w:r w:rsidR="00416B9B" w:rsidRPr="00761EF4"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378E5F25" w14:textId="3E668268" w:rsidR="00416B9B" w:rsidRPr="00401F04" w:rsidRDefault="00416B9B" w:rsidP="00401F04">
      <w:pPr>
        <w:pStyle w:val="Nadpis1"/>
      </w:pPr>
      <w:r w:rsidRPr="00900C4B">
        <w:t>I. Čestné prohlášení o splnění kvalifikace</w:t>
      </w:r>
      <w:r>
        <w:t xml:space="preserve"> – základní způsobilost</w:t>
      </w:r>
    </w:p>
    <w:p w14:paraId="47C6E2CB" w14:textId="7DA5A559" w:rsidR="00416B9B" w:rsidRPr="00401F04" w:rsidRDefault="00416B9B" w:rsidP="00F2500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34DE465F" w14:textId="5A7DBCB9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D969751" w14:textId="03A171E3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v evidenci daní zachycen splatný daňový nedoplatek,</w:t>
      </w:r>
    </w:p>
    <w:p w14:paraId="6CAF6082" w14:textId="5202A641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34E43D8F" w14:textId="0AEF495D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2461EE76" w14:textId="55539CD6" w:rsidR="00CA59BD" w:rsidRPr="004D2D34" w:rsidRDefault="00416B9B" w:rsidP="004D2D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1260C0E2" w14:textId="18DE324E" w:rsidR="00416B9B" w:rsidRPr="00401F04" w:rsidRDefault="00416B9B" w:rsidP="00401F04">
      <w:pPr>
        <w:pStyle w:val="Nadpis1"/>
      </w:pPr>
      <w:r w:rsidRPr="00B01751">
        <w:lastRenderedPageBreak/>
        <w:t>II. Čestné prohlášení ke společensky odpovědnému plnění veřejné zakázky</w:t>
      </w:r>
    </w:p>
    <w:p w14:paraId="7FD1B1DE" w14:textId="1F3C92AF" w:rsidR="00416B9B" w:rsidRPr="00D56D3B" w:rsidRDefault="00416B9B" w:rsidP="00F25000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10854B0D" w14:textId="0E29B5E6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16B9B" w:rsidRPr="00D56D3B">
        <w:rPr>
          <w:rFonts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5EB9AD6" w14:textId="17A954BC" w:rsidR="00416B9B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155BF7F" w14:textId="4E428F73" w:rsidR="003B7E56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cstheme="minorHAnsi"/>
          <w:sz w:val="22"/>
          <w:szCs w:val="22"/>
        </w:rPr>
        <w:t> </w:t>
      </w:r>
      <w:r w:rsidRPr="00D56D3B">
        <w:rPr>
          <w:rFonts w:cstheme="minorHAnsi"/>
          <w:sz w:val="22"/>
          <w:szCs w:val="22"/>
        </w:rPr>
        <w:t>poddodavatelem</w:t>
      </w:r>
      <w:r w:rsidR="003B7E56">
        <w:rPr>
          <w:rFonts w:cstheme="minorHAnsi"/>
          <w:sz w:val="22"/>
          <w:szCs w:val="22"/>
        </w:rPr>
        <w:t>,</w:t>
      </w:r>
    </w:p>
    <w:p w14:paraId="4E0381E6" w14:textId="06DB4648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3B7E56">
        <w:rPr>
          <w:rFonts w:cstheme="minorHAnsi"/>
          <w:sz w:val="22"/>
          <w:szCs w:val="22"/>
        </w:rPr>
        <w:t xml:space="preserve">vedení průběžné evidence odpadů vzniklých při </w:t>
      </w:r>
      <w:r>
        <w:rPr>
          <w:rFonts w:cstheme="minorHAnsi"/>
          <w:sz w:val="22"/>
          <w:szCs w:val="22"/>
        </w:rPr>
        <w:t>plnění veřejné zakázky</w:t>
      </w:r>
      <w:r w:rsidRPr="003B7E56">
        <w:rPr>
          <w:rFonts w:cstheme="minorHAnsi"/>
          <w:sz w:val="22"/>
          <w:szCs w:val="22"/>
        </w:rPr>
        <w:t xml:space="preserve"> a </w:t>
      </w:r>
      <w:r>
        <w:rPr>
          <w:rFonts w:cstheme="minorHAnsi"/>
          <w:sz w:val="22"/>
          <w:szCs w:val="22"/>
        </w:rPr>
        <w:t xml:space="preserve">na vyžádání </w:t>
      </w:r>
      <w:r w:rsidRPr="003B7E56">
        <w:rPr>
          <w:rFonts w:cstheme="minorHAnsi"/>
          <w:sz w:val="22"/>
          <w:szCs w:val="22"/>
        </w:rPr>
        <w:t>předložení dokladů o nezávadném zneškodňování odpadů</w:t>
      </w:r>
      <w:r>
        <w:rPr>
          <w:rFonts w:cstheme="minorHAnsi"/>
          <w:sz w:val="22"/>
          <w:szCs w:val="22"/>
        </w:rPr>
        <w:t>.</w:t>
      </w:r>
    </w:p>
    <w:p w14:paraId="5C0A6836" w14:textId="0AAB542D" w:rsidR="00416B9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Zadavatel </w:t>
      </w:r>
      <w:r w:rsidRPr="00D56D3B">
        <w:rPr>
          <w:rFonts w:cstheme="minorHAnsi"/>
          <w:sz w:val="22"/>
          <w:szCs w:val="22"/>
        </w:rPr>
        <w:t xml:space="preserve">je oprávněn plnění </w:t>
      </w:r>
      <w:r>
        <w:rPr>
          <w:rFonts w:cstheme="minorHAnsi"/>
          <w:sz w:val="22"/>
          <w:szCs w:val="22"/>
        </w:rPr>
        <w:t xml:space="preserve">výše uvedených </w:t>
      </w:r>
      <w:r w:rsidRPr="00D56D3B">
        <w:rPr>
          <w:rFonts w:cstheme="minorHAnsi"/>
          <w:sz w:val="22"/>
          <w:szCs w:val="22"/>
        </w:rPr>
        <w:t xml:space="preserve">povinností kdykoliv </w:t>
      </w:r>
      <w:r>
        <w:rPr>
          <w:rFonts w:cstheme="minorHAnsi"/>
          <w:sz w:val="22"/>
          <w:szCs w:val="22"/>
        </w:rPr>
        <w:t>u vybraného dodavatele</w:t>
      </w:r>
      <w:r w:rsidR="00F25000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cstheme="minorHAnsi"/>
          <w:sz w:val="22"/>
          <w:szCs w:val="22"/>
        </w:rPr>
        <w:t>vybraný dodavatel</w:t>
      </w:r>
      <w:r w:rsidRPr="00D56D3B">
        <w:rPr>
          <w:rFonts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cstheme="minorHAnsi"/>
          <w:sz w:val="22"/>
          <w:szCs w:val="22"/>
        </w:rPr>
        <w:t xml:space="preserve"> zadavatele.</w:t>
      </w:r>
    </w:p>
    <w:p w14:paraId="69C8EF3A" w14:textId="5C8E7CB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6152F029" w14:textId="45D44EE1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7CE2DC7C" w14:textId="26317D9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3AB6C68" w14:textId="726AC33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4D03BB3" w14:textId="438EFB59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4D5D72" w14:textId="3606CFA2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3E583EF0" w14:textId="5A7342CB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2D65C23" w14:textId="44995DE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AB3CFFD" w14:textId="6F3F06C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F419BF" w14:textId="468DC20D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75A38B3" w14:textId="763B597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DE39E64" w14:textId="004047DC" w:rsidR="00CA59BD" w:rsidRDefault="00CA59BD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3D752BC" w14:textId="77777777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EDB4987" w14:textId="403862AD" w:rsidR="00D56D3B" w:rsidRPr="00401F04" w:rsidRDefault="00401F04" w:rsidP="00401F04">
      <w:pPr>
        <w:pStyle w:val="Nadpis1"/>
      </w:pPr>
      <w:r w:rsidRPr="00B01751">
        <w:lastRenderedPageBreak/>
        <w:t>II</w:t>
      </w:r>
      <w:r>
        <w:t>I</w:t>
      </w:r>
      <w:r w:rsidRPr="00B01751">
        <w:t xml:space="preserve">. Čestné prohlášení </w:t>
      </w:r>
      <w:r>
        <w:t>k prokázání technické kvalifikace</w:t>
      </w:r>
    </w:p>
    <w:p w14:paraId="3919C751" w14:textId="10F4EDAA" w:rsidR="00F25000" w:rsidRDefault="00F25000" w:rsidP="00401F04">
      <w:pPr>
        <w:jc w:val="both"/>
        <w:rPr>
          <w:rFonts w:cstheme="minorHAnsi"/>
        </w:rPr>
      </w:pPr>
      <w:r w:rsidRPr="00D56D3B">
        <w:rPr>
          <w:rFonts w:cstheme="minorHAnsi"/>
          <w:sz w:val="22"/>
          <w:szCs w:val="22"/>
        </w:rPr>
        <w:t xml:space="preserve">Jako účastník výběrového řízení tímto prokazuji splnění podmínek </w:t>
      </w:r>
      <w:r>
        <w:rPr>
          <w:rFonts w:cstheme="minorHAnsi"/>
          <w:sz w:val="22"/>
          <w:szCs w:val="22"/>
        </w:rPr>
        <w:t>k prokázání technické kvalifikace</w:t>
      </w:r>
      <w:r w:rsidRPr="00D56D3B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br/>
        <w:t>a čestně prohlašuji, že</w:t>
      </w:r>
      <w:r>
        <w:rPr>
          <w:rFonts w:cstheme="minorHAnsi"/>
          <w:sz w:val="22"/>
          <w:szCs w:val="22"/>
        </w:rPr>
        <w:t xml:space="preserve"> jsem provedl níže uvedené zakázky:</w:t>
      </w:r>
    </w:p>
    <w:p w14:paraId="0949FB54" w14:textId="5DEDCAA5" w:rsidR="00401F04" w:rsidRPr="00B41AD7" w:rsidRDefault="00401F04" w:rsidP="00401F04">
      <w:pPr>
        <w:jc w:val="both"/>
        <w:rPr>
          <w:rFonts w:cstheme="minorHAnsi"/>
        </w:rPr>
      </w:pPr>
      <w:r w:rsidRPr="00B41AD7">
        <w:rPr>
          <w:rFonts w:cstheme="minorHAnsi"/>
        </w:rPr>
        <w:t xml:space="preserve">Seznam </w:t>
      </w:r>
      <w:r w:rsidR="004D2D34">
        <w:rPr>
          <w:rFonts w:cstheme="minorHAnsi"/>
          <w:b/>
        </w:rPr>
        <w:t>2</w:t>
      </w:r>
      <w:r w:rsidRPr="00B41AD7">
        <w:rPr>
          <w:rFonts w:cstheme="minorHAnsi"/>
          <w:b/>
        </w:rPr>
        <w:t xml:space="preserve"> </w:t>
      </w:r>
      <w:r w:rsidR="00235A68">
        <w:rPr>
          <w:rFonts w:cstheme="minorHAnsi"/>
          <w:b/>
        </w:rPr>
        <w:t>dodávek</w:t>
      </w:r>
      <w:r w:rsidRPr="00B41AD7">
        <w:rPr>
          <w:rFonts w:cstheme="minorHAnsi"/>
        </w:rPr>
        <w:t xml:space="preserve"> stejného či obdobného charakteru provedených dodavatelem za poslední </w:t>
      </w:r>
      <w:r w:rsidR="00F25000" w:rsidRPr="00F25000">
        <w:rPr>
          <w:rFonts w:cstheme="minorHAnsi"/>
          <w:b/>
          <w:bCs/>
        </w:rPr>
        <w:t>3 roky</w:t>
      </w:r>
      <w:r w:rsidRPr="00B41AD7">
        <w:rPr>
          <w:rFonts w:cstheme="minorHAnsi"/>
        </w:rPr>
        <w:t>, v minimální výši</w:t>
      </w:r>
      <w:r w:rsidRPr="00B41AD7">
        <w:rPr>
          <w:rFonts w:cstheme="minorHAnsi"/>
          <w:b/>
        </w:rPr>
        <w:t> </w:t>
      </w:r>
      <w:r w:rsidR="004D2D34">
        <w:rPr>
          <w:rFonts w:cstheme="minorHAnsi"/>
          <w:b/>
        </w:rPr>
        <w:t>5</w:t>
      </w:r>
      <w:r w:rsidRPr="00B41AD7">
        <w:rPr>
          <w:rFonts w:cstheme="minorHAnsi"/>
          <w:b/>
        </w:rPr>
        <w:t>0 000,- Kč bez DPH</w:t>
      </w:r>
      <w:r w:rsidRPr="00B41AD7">
        <w:rPr>
          <w:rFonts w:cstheme="minorHAnsi"/>
        </w:rPr>
        <w:t xml:space="preserve"> za jednu stavbu.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01F04" w14:paraId="4C1670BC" w14:textId="77777777" w:rsidTr="00F25000">
        <w:tc>
          <w:tcPr>
            <w:tcW w:w="1812" w:type="dxa"/>
          </w:tcPr>
          <w:p w14:paraId="763B6E46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Název zakázky</w:t>
            </w:r>
          </w:p>
        </w:tc>
        <w:tc>
          <w:tcPr>
            <w:tcW w:w="1812" w:type="dxa"/>
          </w:tcPr>
          <w:p w14:paraId="61026C70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Stručný popis</w:t>
            </w:r>
          </w:p>
        </w:tc>
        <w:tc>
          <w:tcPr>
            <w:tcW w:w="1812" w:type="dxa"/>
          </w:tcPr>
          <w:p w14:paraId="3506EC04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Čas a místo realizace</w:t>
            </w:r>
          </w:p>
        </w:tc>
        <w:tc>
          <w:tcPr>
            <w:tcW w:w="1812" w:type="dxa"/>
          </w:tcPr>
          <w:p w14:paraId="65991B6F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 xml:space="preserve">Finanční hodnota </w:t>
            </w:r>
          </w:p>
        </w:tc>
        <w:tc>
          <w:tcPr>
            <w:tcW w:w="1812" w:type="dxa"/>
          </w:tcPr>
          <w:p w14:paraId="3DBE6431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Kontaktní osoba objednatele</w:t>
            </w:r>
          </w:p>
        </w:tc>
      </w:tr>
      <w:tr w:rsidR="00401F04" w14:paraId="563D9A84" w14:textId="77777777" w:rsidTr="00F25000">
        <w:tc>
          <w:tcPr>
            <w:tcW w:w="1812" w:type="dxa"/>
          </w:tcPr>
          <w:p w14:paraId="13EFBA5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ECC2724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9068F3C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7BB1ADB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6A6212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F78540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1643EC53" w14:textId="77777777" w:rsidTr="00F25000">
        <w:tc>
          <w:tcPr>
            <w:tcW w:w="1812" w:type="dxa"/>
          </w:tcPr>
          <w:p w14:paraId="145D9658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55D6005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A39868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BEB5D7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F6D3EFA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D15BEC3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51E40334" w14:textId="77777777" w:rsidTr="00F25000">
        <w:tc>
          <w:tcPr>
            <w:tcW w:w="1812" w:type="dxa"/>
          </w:tcPr>
          <w:p w14:paraId="46CDE972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4818437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57BA2EF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CA86C4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44FDD7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6F075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</w:tbl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6B3E0BE8" w:rsidR="00416B9B" w:rsidRDefault="00416B9B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65BBE2A" w14:textId="489B26E7" w:rsidR="00F25000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303700" w14:textId="77777777" w:rsidR="00F25000" w:rsidRPr="00D56D3B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235A68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2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486E42D6" w14:textId="77777777" w:rsidR="009B70E2" w:rsidRPr="00761EF4" w:rsidRDefault="002D24E7" w:rsidP="00CC7DBE">
    <w:pPr>
      <w:rPr>
        <w:color w:val="1F497D" w:themeColor="text2"/>
      </w:rPr>
    </w:pPr>
    <w:r w:rsidRPr="00761EF4">
      <w:rPr>
        <w:rFonts w:cstheme="minorHAnsi"/>
        <w:b/>
        <w:color w:val="1F497D" w:themeColor="text2"/>
        <w:sz w:val="32"/>
      </w:rPr>
      <w:t>Příloha č. 2</w:t>
    </w:r>
    <w:r w:rsidR="009B70E2" w:rsidRPr="00761EF4">
      <w:rPr>
        <w:rFonts w:cstheme="minorHAnsi"/>
        <w:b/>
        <w:color w:val="1F497D" w:themeColor="text2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3218B"/>
    <w:rsid w:val="00171E92"/>
    <w:rsid w:val="00196DD7"/>
    <w:rsid w:val="001A3863"/>
    <w:rsid w:val="001C38A2"/>
    <w:rsid w:val="001C3C63"/>
    <w:rsid w:val="001E0AFA"/>
    <w:rsid w:val="002078E3"/>
    <w:rsid w:val="00233009"/>
    <w:rsid w:val="00235A68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01F04"/>
    <w:rsid w:val="00416B9B"/>
    <w:rsid w:val="00440569"/>
    <w:rsid w:val="0044056F"/>
    <w:rsid w:val="00452793"/>
    <w:rsid w:val="004666A4"/>
    <w:rsid w:val="0047176A"/>
    <w:rsid w:val="00485A9C"/>
    <w:rsid w:val="004D2D34"/>
    <w:rsid w:val="00525400"/>
    <w:rsid w:val="005726B1"/>
    <w:rsid w:val="00585D99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61EF4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A59BD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5000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EF4"/>
  </w:style>
  <w:style w:type="paragraph" w:styleId="Nadpis1">
    <w:name w:val="heading 1"/>
    <w:basedOn w:val="Normln"/>
    <w:next w:val="Normln"/>
    <w:link w:val="Nadpis1Char"/>
    <w:uiPriority w:val="9"/>
    <w:qFormat/>
    <w:rsid w:val="00761EF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EF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F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F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F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F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F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rsid w:val="00416B9B"/>
    <w:pPr>
      <w:spacing w:after="120"/>
      <w:ind w:left="425"/>
      <w:jc w:val="both"/>
    </w:pPr>
    <w:rPr>
      <w:rFonts w:ascii="Arial" w:eastAsiaTheme="minorHAnsi" w:hAnsi="Arial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61EF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61EF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F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F4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61EF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1EF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1EF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61EF4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61EF4"/>
    <w:rPr>
      <w:b/>
      <w:bCs/>
    </w:rPr>
  </w:style>
  <w:style w:type="character" w:styleId="Zdraznn">
    <w:name w:val="Emphasis"/>
    <w:uiPriority w:val="20"/>
    <w:qFormat/>
    <w:rsid w:val="00761EF4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761E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61EF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EF4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F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F4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761EF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761EF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761EF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761EF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761EF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3</cp:revision>
  <dcterms:created xsi:type="dcterms:W3CDTF">2022-01-25T09:48:00Z</dcterms:created>
  <dcterms:modified xsi:type="dcterms:W3CDTF">2022-01-25T09:49:00Z</dcterms:modified>
</cp:coreProperties>
</file>